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2F22D" w14:textId="77777777" w:rsidR="007D27FC" w:rsidRDefault="007D27FC" w:rsidP="007D27F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Chocolate Chip Mining </w:t>
      </w:r>
    </w:p>
    <w:p w14:paraId="221152AF" w14:textId="77777777" w:rsidR="007D27FC" w:rsidRDefault="007D27FC" w:rsidP="007D27F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Lab Activity</w:t>
      </w:r>
    </w:p>
    <w:p w14:paraId="0D9DCF1B" w14:textId="77777777" w:rsidR="007D27FC" w:rsidRDefault="007D27FC" w:rsidP="007D27FC">
      <w:pPr>
        <w:rPr>
          <w:sz w:val="14"/>
          <w:szCs w:val="14"/>
        </w:rPr>
      </w:pPr>
    </w:p>
    <w:p w14:paraId="7A1EF5E1" w14:textId="77777777" w:rsidR="007D27FC" w:rsidRDefault="007D27FC" w:rsidP="007D27FC">
      <w:r>
        <w:t xml:space="preserve">This activity targets the following science content performance standards: </w:t>
      </w:r>
    </w:p>
    <w:tbl>
      <w:tblPr>
        <w:tblW w:w="102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12"/>
        <w:gridCol w:w="5112"/>
      </w:tblGrid>
      <w:tr w:rsidR="007D27FC" w14:paraId="2290C881" w14:textId="77777777" w:rsidTr="00A46003">
        <w:tc>
          <w:tcPr>
            <w:tcW w:w="5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BA5FD" w14:textId="77777777" w:rsidR="007D27FC" w:rsidRDefault="007D27FC" w:rsidP="00A46003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Middle School</w:t>
            </w:r>
          </w:p>
        </w:tc>
        <w:tc>
          <w:tcPr>
            <w:tcW w:w="5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B8817" w14:textId="77777777" w:rsidR="007D27FC" w:rsidRDefault="007D27FC" w:rsidP="00A46003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High School</w:t>
            </w:r>
          </w:p>
        </w:tc>
      </w:tr>
      <w:tr w:rsidR="007D27FC" w14:paraId="47538B4F" w14:textId="77777777" w:rsidTr="00A46003">
        <w:tc>
          <w:tcPr>
            <w:tcW w:w="5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8B0F1" w14:textId="77777777" w:rsidR="007D27FC" w:rsidRDefault="007D27FC" w:rsidP="00A4600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MS-ESS-3.3 Apply scientific practices to design a method for monitoring human activity and increasing beneficial human influences on the environment.</w:t>
            </w:r>
          </w:p>
        </w:tc>
        <w:tc>
          <w:tcPr>
            <w:tcW w:w="51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8CA3D" w14:textId="77777777" w:rsidR="007D27FC" w:rsidRDefault="007D27FC" w:rsidP="00A4600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HS-ESS-3.2 Evaluate competing design solutions for developing, managing, and utilizing energy and mineral resources based on cost-benefit ratios.</w:t>
            </w:r>
          </w:p>
        </w:tc>
      </w:tr>
    </w:tbl>
    <w:p w14:paraId="6B1426FE" w14:textId="77777777" w:rsidR="007D27FC" w:rsidRDefault="007D27FC" w:rsidP="007D27FC">
      <w:pPr>
        <w:rPr>
          <w:sz w:val="20"/>
          <w:szCs w:val="20"/>
          <w:highlight w:val="white"/>
        </w:rPr>
      </w:pPr>
    </w:p>
    <w:p w14:paraId="7F28E18B" w14:textId="77777777" w:rsidR="007D27FC" w:rsidRDefault="007D27FC" w:rsidP="007D27FC">
      <w:pPr>
        <w:rPr>
          <w:highlight w:val="white"/>
        </w:rPr>
      </w:pPr>
      <w:r>
        <w:rPr>
          <w:highlight w:val="white"/>
        </w:rPr>
        <w:t xml:space="preserve">Materials Needed: </w:t>
      </w:r>
    </w:p>
    <w:p w14:paraId="5E619AB0" w14:textId="77777777" w:rsidR="007D27FC" w:rsidRDefault="007D27FC" w:rsidP="007D27FC">
      <w:pPr>
        <w:numPr>
          <w:ilvl w:val="0"/>
          <w:numId w:val="1"/>
        </w:numPr>
        <w:spacing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Hard Chips Ahoy Chocolate Chip Cookies</w:t>
      </w:r>
    </w:p>
    <w:p w14:paraId="61784241" w14:textId="77777777" w:rsidR="007D27FC" w:rsidRDefault="007D27FC" w:rsidP="007D27FC">
      <w:pPr>
        <w:numPr>
          <w:ilvl w:val="0"/>
          <w:numId w:val="1"/>
        </w:numPr>
        <w:spacing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Soft Chips Ahoy Chocolate Chip Cookies</w:t>
      </w:r>
    </w:p>
    <w:p w14:paraId="5D929C2A" w14:textId="77777777" w:rsidR="007D27FC" w:rsidRDefault="007D27FC" w:rsidP="007D27FC">
      <w:pPr>
        <w:numPr>
          <w:ilvl w:val="0"/>
          <w:numId w:val="1"/>
        </w:numPr>
        <w:spacing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Toothpicks</w:t>
      </w:r>
    </w:p>
    <w:p w14:paraId="5C7DEE51" w14:textId="77777777" w:rsidR="007D27FC" w:rsidRDefault="007D27FC" w:rsidP="007D27FC">
      <w:pPr>
        <w:numPr>
          <w:ilvl w:val="0"/>
          <w:numId w:val="1"/>
        </w:numPr>
        <w:spacing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Wood skewers</w:t>
      </w:r>
    </w:p>
    <w:p w14:paraId="662C8B51" w14:textId="77777777" w:rsidR="007D27FC" w:rsidRDefault="007D27FC" w:rsidP="007D27FC">
      <w:pPr>
        <w:numPr>
          <w:ilvl w:val="0"/>
          <w:numId w:val="1"/>
        </w:numPr>
        <w:spacing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Large paper clips</w:t>
      </w:r>
    </w:p>
    <w:p w14:paraId="55E97FDC" w14:textId="77777777" w:rsidR="007D27FC" w:rsidRDefault="007D27FC" w:rsidP="007D27FC">
      <w:pPr>
        <w:numPr>
          <w:ilvl w:val="0"/>
          <w:numId w:val="1"/>
        </w:numPr>
        <w:spacing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Graph paper</w:t>
      </w:r>
    </w:p>
    <w:p w14:paraId="79DB082A" w14:textId="77777777" w:rsidR="007D27FC" w:rsidRDefault="007D27FC" w:rsidP="007D27FC">
      <w:pPr>
        <w:spacing w:line="240" w:lineRule="auto"/>
        <w:rPr>
          <w:rFonts w:ascii="Aptos" w:eastAsia="Aptos" w:hAnsi="Aptos" w:cs="Aptos"/>
        </w:rPr>
      </w:pPr>
    </w:p>
    <w:p w14:paraId="62D52D04" w14:textId="77777777" w:rsidR="007D27FC" w:rsidRDefault="007D27FC" w:rsidP="007D27FC">
      <w:pPr>
        <w:spacing w:line="240" w:lineRule="auto"/>
        <w:rPr>
          <w:rFonts w:ascii="Aptos" w:eastAsia="Aptos" w:hAnsi="Aptos" w:cs="Aptos"/>
          <w:sz w:val="4"/>
          <w:szCs w:val="4"/>
        </w:rPr>
      </w:pPr>
    </w:p>
    <w:p w14:paraId="272CD2BD" w14:textId="77777777" w:rsidR="007D27FC" w:rsidRDefault="007D27FC" w:rsidP="007D27FC">
      <w:pPr>
        <w:numPr>
          <w:ilvl w:val="0"/>
          <w:numId w:val="2"/>
        </w:numPr>
        <w:spacing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Each student starts with $20 of seed money for their mining company. They </w:t>
      </w:r>
      <w:proofErr w:type="gramStart"/>
      <w:r>
        <w:rPr>
          <w:rFonts w:ascii="Aptos" w:eastAsia="Aptos" w:hAnsi="Aptos" w:cs="Aptos"/>
        </w:rPr>
        <w:t>choose</w:t>
      </w:r>
      <w:proofErr w:type="gramEnd"/>
      <w:r>
        <w:rPr>
          <w:rFonts w:ascii="Aptos" w:eastAsia="Aptos" w:hAnsi="Aptos" w:cs="Aptos"/>
        </w:rPr>
        <w:t xml:space="preserve"> a </w:t>
      </w:r>
      <w:proofErr w:type="gramStart"/>
      <w:r>
        <w:rPr>
          <w:rFonts w:ascii="Aptos" w:eastAsia="Aptos" w:hAnsi="Aptos" w:cs="Aptos"/>
        </w:rPr>
        <w:t>cookie to mine</w:t>
      </w:r>
      <w:proofErr w:type="gramEnd"/>
      <w:r>
        <w:rPr>
          <w:rFonts w:ascii="Aptos" w:eastAsia="Aptos" w:hAnsi="Aptos" w:cs="Aptos"/>
        </w:rPr>
        <w:t xml:space="preserve"> for a cost of $5. </w:t>
      </w:r>
    </w:p>
    <w:p w14:paraId="7D9D5FCB" w14:textId="77777777" w:rsidR="007D27FC" w:rsidRDefault="007D27FC" w:rsidP="007D27FC">
      <w:pPr>
        <w:numPr>
          <w:ilvl w:val="0"/>
          <w:numId w:val="2"/>
        </w:numPr>
        <w:spacing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Students place their cookie in the center of the graph paper and use a pencil to trace the outline of the cookie. </w:t>
      </w:r>
    </w:p>
    <w:p w14:paraId="1970E55C" w14:textId="77777777" w:rsidR="007D27FC" w:rsidRDefault="007D27FC" w:rsidP="007D27FC">
      <w:pPr>
        <w:numPr>
          <w:ilvl w:val="0"/>
          <w:numId w:val="2"/>
        </w:numPr>
        <w:spacing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Students select and purchase tools. Toothpicks cost $2 each, wood skewers cost $4 each, and paper clips cost $6 each. Each student may buy as many tools as they wish, but they may not share tools with others. If tools are broken during the activity, they must purchase a new tool. </w:t>
      </w:r>
    </w:p>
    <w:p w14:paraId="1B1BC295" w14:textId="77777777" w:rsidR="007D27FC" w:rsidRDefault="007D27FC" w:rsidP="007D27FC">
      <w:pPr>
        <w:numPr>
          <w:ilvl w:val="0"/>
          <w:numId w:val="2"/>
        </w:numPr>
        <w:spacing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Give students 5 minutes to “mine” as many chocolate chips from their cookie as they can. During the mining, the cookie or </w:t>
      </w:r>
      <w:proofErr w:type="gramStart"/>
      <w:r>
        <w:rPr>
          <w:rFonts w:ascii="Aptos" w:eastAsia="Aptos" w:hAnsi="Aptos" w:cs="Aptos"/>
        </w:rPr>
        <w:t>removed chocolate chips</w:t>
      </w:r>
      <w:proofErr w:type="gramEnd"/>
      <w:r>
        <w:rPr>
          <w:rFonts w:ascii="Aptos" w:eastAsia="Aptos" w:hAnsi="Aptos" w:cs="Aptos"/>
        </w:rPr>
        <w:t xml:space="preserve"> may not be </w:t>
      </w:r>
      <w:proofErr w:type="gramStart"/>
      <w:r>
        <w:rPr>
          <w:rFonts w:ascii="Aptos" w:eastAsia="Aptos" w:hAnsi="Aptos" w:cs="Aptos"/>
        </w:rPr>
        <w:t>touch</w:t>
      </w:r>
      <w:proofErr w:type="gramEnd"/>
      <w:r>
        <w:rPr>
          <w:rFonts w:ascii="Aptos" w:eastAsia="Aptos" w:hAnsi="Aptos" w:cs="Aptos"/>
        </w:rPr>
        <w:t xml:space="preserve"> by the </w:t>
      </w:r>
      <w:proofErr w:type="gramStart"/>
      <w:r>
        <w:rPr>
          <w:rFonts w:ascii="Aptos" w:eastAsia="Aptos" w:hAnsi="Aptos" w:cs="Aptos"/>
        </w:rPr>
        <w:t>students</w:t>
      </w:r>
      <w:proofErr w:type="gramEnd"/>
      <w:r>
        <w:rPr>
          <w:rFonts w:ascii="Aptos" w:eastAsia="Aptos" w:hAnsi="Aptos" w:cs="Aptos"/>
        </w:rPr>
        <w:t xml:space="preserve"> hands, only by the tools. </w:t>
      </w:r>
    </w:p>
    <w:p w14:paraId="13047E89" w14:textId="77777777" w:rsidR="007D27FC" w:rsidRDefault="007D27FC" w:rsidP="007D27FC">
      <w:pPr>
        <w:numPr>
          <w:ilvl w:val="0"/>
          <w:numId w:val="2"/>
        </w:numPr>
        <w:spacing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At the end of the 5 minutes, students </w:t>
      </w:r>
      <w:proofErr w:type="gramStart"/>
      <w:r>
        <w:rPr>
          <w:rFonts w:ascii="Aptos" w:eastAsia="Aptos" w:hAnsi="Aptos" w:cs="Aptos"/>
        </w:rPr>
        <w:t>count up</w:t>
      </w:r>
      <w:proofErr w:type="gramEnd"/>
      <w:r>
        <w:rPr>
          <w:rFonts w:ascii="Aptos" w:eastAsia="Aptos" w:hAnsi="Aptos" w:cs="Aptos"/>
        </w:rPr>
        <w:t xml:space="preserve"> the number of chocolate chips they recovered. Each chocolate chip makes a profit of $2. Then they count the number of squares outside the cookie outline that have crumbs. Each square that has a crumb must be reclaimed at a cost of $1. </w:t>
      </w:r>
    </w:p>
    <w:p w14:paraId="2E770E49" w14:textId="77777777" w:rsidR="007D27FC" w:rsidRDefault="007D27FC" w:rsidP="007D27FC">
      <w:pPr>
        <w:numPr>
          <w:ilvl w:val="0"/>
          <w:numId w:val="2"/>
        </w:numPr>
        <w:spacing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Students should complete calculations to determine if they made a profit or loss in their mining business. </w:t>
      </w:r>
    </w:p>
    <w:p w14:paraId="286BC90F" w14:textId="77777777" w:rsidR="007D27FC" w:rsidRDefault="007D27FC" w:rsidP="007D27FC">
      <w:pPr>
        <w:spacing w:line="240" w:lineRule="auto"/>
        <w:rPr>
          <w:rFonts w:ascii="Aptos" w:eastAsia="Aptos" w:hAnsi="Aptos" w:cs="Aptos"/>
        </w:rPr>
      </w:pPr>
    </w:p>
    <w:p w14:paraId="4A0D0350" w14:textId="7B86B42D" w:rsidR="007D27FC" w:rsidRDefault="002962D6" w:rsidP="007D27FC">
      <w:r w:rsidRPr="00645AAC">
        <w:drawing>
          <wp:anchor distT="0" distB="0" distL="114300" distR="114300" simplePos="0" relativeHeight="251659264" behindDoc="1" locked="0" layoutInCell="1" allowOverlap="1" wp14:anchorId="3DEE7055" wp14:editId="646FBC12">
            <wp:simplePos x="0" y="0"/>
            <wp:positionH relativeFrom="leftMargin">
              <wp:posOffset>195580</wp:posOffset>
            </wp:positionH>
            <wp:positionV relativeFrom="paragraph">
              <wp:posOffset>2482850</wp:posOffset>
            </wp:positionV>
            <wp:extent cx="857250" cy="857250"/>
            <wp:effectExtent l="0" t="0" r="0" b="0"/>
            <wp:wrapNone/>
            <wp:docPr id="582242161" name="Picture 2" descr="A green outline of a sta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934103" name="Picture 2" descr="A green outline of a stat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30"/>
        <w:gridCol w:w="2580"/>
        <w:gridCol w:w="3405"/>
      </w:tblGrid>
      <w:tr w:rsidR="007D27FC" w14:paraId="53C5DA20" w14:textId="77777777" w:rsidTr="00A46003">
        <w:trPr>
          <w:trHeight w:val="420"/>
        </w:trPr>
        <w:tc>
          <w:tcPr>
            <w:tcW w:w="681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4FD1C" w14:textId="77777777" w:rsidR="007D27FC" w:rsidRDefault="007D27FC" w:rsidP="00A46003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EXPENDITURES</w:t>
            </w:r>
          </w:p>
        </w:tc>
        <w:tc>
          <w:tcPr>
            <w:tcW w:w="3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F0E57" w14:textId="77777777" w:rsidR="007D27FC" w:rsidRDefault="007D27FC" w:rsidP="00A46003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PROFITS</w:t>
            </w:r>
          </w:p>
        </w:tc>
      </w:tr>
      <w:tr w:rsidR="007D27FC" w14:paraId="2D2D43D1" w14:textId="77777777" w:rsidTr="00A46003">
        <w:trPr>
          <w:trHeight w:val="420"/>
        </w:trPr>
        <w:tc>
          <w:tcPr>
            <w:tcW w:w="4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DD224" w14:textId="77777777" w:rsidR="007D27FC" w:rsidRDefault="007D27FC" w:rsidP="00A46003">
            <w:pPr>
              <w:widowControl w:val="0"/>
              <w:spacing w:line="360" w:lineRule="auto"/>
              <w:jc w:val="center"/>
            </w:pPr>
            <w:r>
              <w:t>Funds at beginning</w:t>
            </w: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3AB17" w14:textId="77777777" w:rsidR="007D27FC" w:rsidRDefault="007D27FC" w:rsidP="00A46003">
            <w:pPr>
              <w:widowControl w:val="0"/>
              <w:spacing w:line="360" w:lineRule="auto"/>
            </w:pPr>
            <w:r>
              <w:t>$</w:t>
            </w:r>
          </w:p>
        </w:tc>
        <w:tc>
          <w:tcPr>
            <w:tcW w:w="34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73612" w14:textId="77777777" w:rsidR="007D27FC" w:rsidRDefault="007D27FC" w:rsidP="00A46003">
            <w:pPr>
              <w:widowControl w:val="0"/>
              <w:spacing w:line="240" w:lineRule="auto"/>
              <w:jc w:val="center"/>
            </w:pPr>
          </w:p>
          <w:p w14:paraId="70F22A86" w14:textId="77777777" w:rsidR="007D27FC" w:rsidRDefault="007D27FC" w:rsidP="00A46003">
            <w:pPr>
              <w:widowControl w:val="0"/>
              <w:spacing w:line="240" w:lineRule="auto"/>
            </w:pPr>
          </w:p>
          <w:p w14:paraId="15565CA8" w14:textId="77777777" w:rsidR="007D27FC" w:rsidRDefault="007D27FC" w:rsidP="00A46003">
            <w:pPr>
              <w:widowControl w:val="0"/>
              <w:spacing w:line="240" w:lineRule="auto"/>
              <w:jc w:val="center"/>
            </w:pPr>
            <w:r>
              <w:t xml:space="preserve">Total profits / loss: </w:t>
            </w:r>
          </w:p>
        </w:tc>
      </w:tr>
      <w:tr w:rsidR="007D27FC" w14:paraId="3C767C07" w14:textId="77777777" w:rsidTr="00A46003">
        <w:trPr>
          <w:trHeight w:val="420"/>
        </w:trPr>
        <w:tc>
          <w:tcPr>
            <w:tcW w:w="4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F77E7" w14:textId="77777777" w:rsidR="007D27FC" w:rsidRDefault="007D27FC" w:rsidP="00A46003">
            <w:pPr>
              <w:widowControl w:val="0"/>
              <w:spacing w:line="360" w:lineRule="auto"/>
              <w:jc w:val="center"/>
            </w:pPr>
            <w:r>
              <w:t>Cost to purchase mine</w:t>
            </w: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79DA0" w14:textId="77777777" w:rsidR="007D27FC" w:rsidRDefault="007D27FC" w:rsidP="00A46003">
            <w:pPr>
              <w:widowControl w:val="0"/>
              <w:spacing w:line="360" w:lineRule="auto"/>
            </w:pPr>
            <w:r>
              <w:t>-$</w:t>
            </w:r>
          </w:p>
        </w:tc>
        <w:tc>
          <w:tcPr>
            <w:tcW w:w="34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6F29E" w14:textId="77777777" w:rsidR="007D27FC" w:rsidRDefault="007D27FC" w:rsidP="00A46003">
            <w:pPr>
              <w:widowControl w:val="0"/>
              <w:spacing w:line="240" w:lineRule="auto"/>
            </w:pPr>
          </w:p>
        </w:tc>
      </w:tr>
      <w:tr w:rsidR="007D27FC" w14:paraId="5D2F71A2" w14:textId="77777777" w:rsidTr="00A46003">
        <w:trPr>
          <w:trHeight w:val="420"/>
        </w:trPr>
        <w:tc>
          <w:tcPr>
            <w:tcW w:w="4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0F036" w14:textId="77777777" w:rsidR="007D27FC" w:rsidRDefault="007D27FC" w:rsidP="00A46003">
            <w:pPr>
              <w:widowControl w:val="0"/>
              <w:spacing w:line="360" w:lineRule="auto"/>
              <w:jc w:val="center"/>
            </w:pPr>
            <w:r>
              <w:t xml:space="preserve">Cost </w:t>
            </w:r>
            <w:proofErr w:type="gramStart"/>
            <w:r>
              <w:t>to</w:t>
            </w:r>
            <w:proofErr w:type="gramEnd"/>
            <w:r>
              <w:t xml:space="preserve"> purchase tools</w:t>
            </w: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C0F05" w14:textId="77777777" w:rsidR="007D27FC" w:rsidRDefault="007D27FC" w:rsidP="00A46003">
            <w:pPr>
              <w:widowControl w:val="0"/>
              <w:spacing w:line="360" w:lineRule="auto"/>
            </w:pPr>
            <w:r>
              <w:t>-$</w:t>
            </w:r>
          </w:p>
        </w:tc>
        <w:tc>
          <w:tcPr>
            <w:tcW w:w="34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936FE" w14:textId="77777777" w:rsidR="007D27FC" w:rsidRDefault="007D27FC" w:rsidP="00A46003">
            <w:pPr>
              <w:widowControl w:val="0"/>
              <w:spacing w:line="240" w:lineRule="auto"/>
            </w:pPr>
          </w:p>
        </w:tc>
      </w:tr>
      <w:tr w:rsidR="007D27FC" w14:paraId="5989C50F" w14:textId="77777777" w:rsidTr="00A46003">
        <w:trPr>
          <w:trHeight w:val="420"/>
        </w:trPr>
        <w:tc>
          <w:tcPr>
            <w:tcW w:w="4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73902" w14:textId="77777777" w:rsidR="007D27FC" w:rsidRDefault="007D27FC" w:rsidP="00A46003">
            <w:pPr>
              <w:widowControl w:val="0"/>
              <w:spacing w:line="360" w:lineRule="auto"/>
              <w:jc w:val="center"/>
            </w:pPr>
            <w:r>
              <w:t>Amount made from chocolate chips</w:t>
            </w: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2BD71" w14:textId="77777777" w:rsidR="007D27FC" w:rsidRDefault="007D27FC" w:rsidP="00A46003">
            <w:pPr>
              <w:widowControl w:val="0"/>
              <w:spacing w:line="360" w:lineRule="auto"/>
            </w:pPr>
            <w:r>
              <w:t>+$</w:t>
            </w:r>
          </w:p>
        </w:tc>
        <w:tc>
          <w:tcPr>
            <w:tcW w:w="34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A8F56" w14:textId="77777777" w:rsidR="007D27FC" w:rsidRDefault="007D27FC" w:rsidP="00A46003">
            <w:pPr>
              <w:widowControl w:val="0"/>
              <w:spacing w:line="240" w:lineRule="auto"/>
            </w:pPr>
          </w:p>
        </w:tc>
      </w:tr>
      <w:tr w:rsidR="007D27FC" w14:paraId="67ED625D" w14:textId="77777777" w:rsidTr="00A46003">
        <w:trPr>
          <w:trHeight w:val="420"/>
        </w:trPr>
        <w:tc>
          <w:tcPr>
            <w:tcW w:w="4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9C32B" w14:textId="77777777" w:rsidR="007D27FC" w:rsidRDefault="007D27FC" w:rsidP="00A46003">
            <w:pPr>
              <w:widowControl w:val="0"/>
              <w:spacing w:line="360" w:lineRule="auto"/>
              <w:jc w:val="center"/>
            </w:pPr>
            <w:r>
              <w:t>Cost of reclamation</w:t>
            </w: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0FF9F" w14:textId="77777777" w:rsidR="007D27FC" w:rsidRDefault="007D27FC" w:rsidP="00A46003">
            <w:pPr>
              <w:widowControl w:val="0"/>
              <w:spacing w:line="360" w:lineRule="auto"/>
            </w:pPr>
            <w:r>
              <w:t>-$</w:t>
            </w:r>
          </w:p>
        </w:tc>
        <w:tc>
          <w:tcPr>
            <w:tcW w:w="34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B36AD" w14:textId="77777777" w:rsidR="007D27FC" w:rsidRDefault="007D27FC" w:rsidP="00A46003">
            <w:pPr>
              <w:widowControl w:val="0"/>
              <w:spacing w:line="240" w:lineRule="auto"/>
            </w:pPr>
          </w:p>
        </w:tc>
      </w:tr>
    </w:tbl>
    <w:p w14:paraId="26F86595" w14:textId="017B8AC1" w:rsidR="007D27FC" w:rsidRDefault="007D27FC"/>
    <w:sectPr w:rsidR="007D27FC" w:rsidSect="007D27FC">
      <w:footerReference w:type="default" r:id="rId11"/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D06D8" w14:textId="77777777" w:rsidR="002962D6" w:rsidRDefault="002962D6" w:rsidP="002962D6">
      <w:pPr>
        <w:spacing w:line="240" w:lineRule="auto"/>
      </w:pPr>
      <w:r>
        <w:separator/>
      </w:r>
    </w:p>
  </w:endnote>
  <w:endnote w:type="continuationSeparator" w:id="0">
    <w:p w14:paraId="66F9653E" w14:textId="77777777" w:rsidR="002962D6" w:rsidRDefault="002962D6" w:rsidP="002962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C1F79" w14:textId="7C67287B" w:rsidR="002962D6" w:rsidRDefault="002962D6" w:rsidP="002962D6">
    <w:pPr>
      <w:pStyle w:val="Footer"/>
      <w:jc w:val="right"/>
    </w:pPr>
    <w:r>
      <w:t>www.wimidaho.com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CB46E" w14:textId="77777777" w:rsidR="002962D6" w:rsidRDefault="002962D6" w:rsidP="002962D6">
      <w:pPr>
        <w:spacing w:line="240" w:lineRule="auto"/>
      </w:pPr>
      <w:r>
        <w:separator/>
      </w:r>
    </w:p>
  </w:footnote>
  <w:footnote w:type="continuationSeparator" w:id="0">
    <w:p w14:paraId="13394240" w14:textId="77777777" w:rsidR="002962D6" w:rsidRDefault="002962D6" w:rsidP="002962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C7A"/>
    <w:multiLevelType w:val="multilevel"/>
    <w:tmpl w:val="44C48B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1AC46EA"/>
    <w:multiLevelType w:val="multilevel"/>
    <w:tmpl w:val="7228E4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83851396">
    <w:abstractNumId w:val="1"/>
  </w:num>
  <w:num w:numId="2" w16cid:durableId="140884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FC"/>
    <w:rsid w:val="002962D6"/>
    <w:rsid w:val="0042634C"/>
    <w:rsid w:val="007D27FC"/>
    <w:rsid w:val="0088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24152"/>
  <w15:chartTrackingRefBased/>
  <w15:docId w15:val="{52E83F07-C226-4623-9B1D-1422E345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7F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7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7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7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7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7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7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7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7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7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7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7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7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7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7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7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62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2D6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62D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2D6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052d6b-02a9-4337-997f-9b2ce11c4475">
      <Terms xmlns="http://schemas.microsoft.com/office/infopath/2007/PartnerControls"/>
    </lcf76f155ced4ddcb4097134ff3c332f>
    <TaxCatchAll xmlns="10453016-6e33-4284-9b63-5c2974da52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C72A82364844CBD6FBAD3CF99F7A6" ma:contentTypeVersion="17" ma:contentTypeDescription="Create a new document." ma:contentTypeScope="" ma:versionID="56883bd78fdaea8ea9e06e0d1c9e82b8">
  <xsd:schema xmlns:xsd="http://www.w3.org/2001/XMLSchema" xmlns:xs="http://www.w3.org/2001/XMLSchema" xmlns:p="http://schemas.microsoft.com/office/2006/metadata/properties" xmlns:ns2="ab052d6b-02a9-4337-997f-9b2ce11c4475" xmlns:ns3="10453016-6e33-4284-9b63-5c2974da52d2" xmlns:ns4="5e5208c1-12df-4faa-aea5-0cd816658cd7" targetNamespace="http://schemas.microsoft.com/office/2006/metadata/properties" ma:root="true" ma:fieldsID="4a47551d13169542df9b96929d93f7d0" ns2:_="" ns3:_="" ns4:_="">
    <xsd:import namespace="ab052d6b-02a9-4337-997f-9b2ce11c4475"/>
    <xsd:import namespace="10453016-6e33-4284-9b63-5c2974da52d2"/>
    <xsd:import namespace="5e5208c1-12df-4faa-aea5-0cd816658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52d6b-02a9-4337-997f-9b2ce11c4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e3a799-df3f-4967-8ddc-cc0128a59c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53016-6e33-4284-9b63-5c2974da52d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56f3ff-102b-4ce1-a917-d448c0093006}" ma:internalName="TaxCatchAll" ma:showField="CatchAllData" ma:web="10453016-6e33-4284-9b63-5c2974da5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208c1-12df-4faa-aea5-0cd816658cd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490C08-A663-4D5D-9D71-3F946E09B58D}">
  <ds:schemaRefs>
    <ds:schemaRef ds:uri="http://schemas.microsoft.com/office/2006/metadata/properties"/>
    <ds:schemaRef ds:uri="http://schemas.microsoft.com/office/infopath/2007/PartnerControls"/>
    <ds:schemaRef ds:uri="ab052d6b-02a9-4337-997f-9b2ce11c4475"/>
    <ds:schemaRef ds:uri="10453016-6e33-4284-9b63-5c2974da52d2"/>
  </ds:schemaRefs>
</ds:datastoreItem>
</file>

<file path=customXml/itemProps2.xml><?xml version="1.0" encoding="utf-8"?>
<ds:datastoreItem xmlns:ds="http://schemas.openxmlformats.org/officeDocument/2006/customXml" ds:itemID="{664C16E4-A750-46E8-8980-BEEE9D261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D180F-7478-440A-B748-5284FC921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052d6b-02a9-4337-997f-9b2ce11c4475"/>
    <ds:schemaRef ds:uri="10453016-6e33-4284-9b63-5c2974da52d2"/>
    <ds:schemaRef ds:uri="5e5208c1-12df-4faa-aea5-0cd816658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Hagenah</dc:creator>
  <cp:keywords/>
  <dc:description/>
  <cp:lastModifiedBy>Emily Hagenah</cp:lastModifiedBy>
  <cp:revision>2</cp:revision>
  <dcterms:created xsi:type="dcterms:W3CDTF">2025-08-13T12:56:00Z</dcterms:created>
  <dcterms:modified xsi:type="dcterms:W3CDTF">2025-11-04T03:37:00Z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0x010100D45C72A82364844CBD6FBAD3CF99F7A6</vt:lpwstr>
  </property>
</Properties>
</file>